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340E2" w14:textId="77777777" w:rsidR="00F64BF0" w:rsidRDefault="00F64BF0">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Questions</w:t>
      </w:r>
    </w:p>
    <w:p w14:paraId="237CF9E5"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b/>
          <w:bCs/>
          <w:kern w:val="0"/>
          <w:sz w:val="22"/>
          <w:szCs w:val="22"/>
        </w:rPr>
        <w:t>Q1.</w:t>
      </w:r>
      <w:r>
        <w:rPr>
          <w:rFonts w:ascii="Arial" w:hAnsi="Arial" w:cs="Arial"/>
          <w:b/>
          <w:bCs/>
          <w:kern w:val="0"/>
          <w:sz w:val="22"/>
          <w:szCs w:val="22"/>
        </w:rPr>
        <w:br/>
      </w:r>
      <w:r>
        <w:rPr>
          <w:rFonts w:ascii="Arial" w:hAnsi="Arial" w:cs="Arial"/>
          <w:kern w:val="0"/>
          <w:sz w:val="22"/>
          <w:szCs w:val="22"/>
        </w:rPr>
        <w:t> </w:t>
      </w:r>
    </w:p>
    <w:p w14:paraId="0C8B7DDE"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Cholera is a disease caused by a bacterial infection that affects the absorption of water in the small intestine.</w:t>
      </w:r>
    </w:p>
    <w:p w14:paraId="5E685F8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bacteria that cause cholera release a toxin.</w:t>
      </w:r>
    </w:p>
    <w:p w14:paraId="65267D0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toxin affects the CFTR protein found in the membrane of intestinal epithelium cells.</w:t>
      </w:r>
    </w:p>
    <w:p w14:paraId="1096BF4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toxin causes the CFTR protein to pump more chloride ions out of these cells into the intestine. This causes a lot of water to be lost in the faeces.</w:t>
      </w:r>
    </w:p>
    <w:p w14:paraId="02358CF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how the toxin causes this water loss.</w:t>
      </w:r>
    </w:p>
    <w:p w14:paraId="5B6DCF13"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1EADE29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FDAD82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9A24DF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294FC3B"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9D299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0507A1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A698D9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E69B8CB"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8E2FC8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6FF2E33"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569C1BD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DE5D61C"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3553CE6F"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6B233F21"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4239C7C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structure of a lipid relates to its role in living organisms.</w:t>
      </w:r>
    </w:p>
    <w:p w14:paraId="3DB2019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Cell membranes contain lipids that have a phosphate group attached to the glycerol, instead of one of the fatty acids.</w:t>
      </w:r>
    </w:p>
    <w:p w14:paraId="70F512E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the importance of the phosphate group in these lipids.</w:t>
      </w:r>
    </w:p>
    <w:p w14:paraId="04E39944"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2A7B7BB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E4666F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DE9B84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A4F306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B0059C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81CF6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19FEC2FE"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D8B4790"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43454F7B"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506F84D"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7707AEB"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1282DCA"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7D715C7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Describe </w:t>
      </w:r>
      <w:r>
        <w:rPr>
          <w:rFonts w:ascii="Arial" w:hAnsi="Arial" w:cs="Arial"/>
          <w:b/>
          <w:bCs/>
          <w:kern w:val="0"/>
          <w:sz w:val="22"/>
          <w:szCs w:val="22"/>
        </w:rPr>
        <w:t>three</w:t>
      </w:r>
      <w:r>
        <w:rPr>
          <w:rFonts w:ascii="Arial" w:hAnsi="Arial" w:cs="Arial"/>
          <w:kern w:val="0"/>
          <w:sz w:val="22"/>
          <w:szCs w:val="22"/>
        </w:rPr>
        <w:t xml:space="preserve"> named methods of passive transport by which substances can enter or leave a cell.</w:t>
      </w:r>
    </w:p>
    <w:p w14:paraId="00F6643C"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077006A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BADDC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EDADC5E"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D44E5E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33B99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6388F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389F43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E6A102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5FAC13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FD46B3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3233629"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28E1C0C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7AD4BC3"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E405DE4"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65EDCF5"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504F506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CFTR protein is also found in the membrane of epithelial cells in the lungs.</w:t>
      </w:r>
    </w:p>
    <w:p w14:paraId="0DCCA8D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Cystic fibrosis is a recessive genetic condition caused by mutations of the allele for the CFTR protein.</w:t>
      </w:r>
    </w:p>
    <w:p w14:paraId="7F75C14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can result in the production of thick, highly viscous mucus in the bronchioles and bronchi.</w:t>
      </w:r>
    </w:p>
    <w:p w14:paraId="6385A394"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why the blood of people with cystic fibrosis has a low oxygen concentration.</w:t>
      </w:r>
    </w:p>
    <w:p w14:paraId="18E1414E"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14930D54"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87307A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FF8D3EE"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7E7118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698272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6221AF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1570765B"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16793CA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417AF79"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5BB39DA1"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4B3202D"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36E62D66" w14:textId="65B25554"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b/>
          <w:bCs/>
          <w:kern w:val="0"/>
          <w:sz w:val="22"/>
          <w:szCs w:val="22"/>
        </w:rPr>
        <w:t xml:space="preserve">Answer the question with a cross in the box you think is correct </w:t>
      </w:r>
      <w:r>
        <w:rPr>
          <w:rFonts w:ascii="Arial" w:hAnsi="Arial" w:cs="Arial"/>
          <w:b/>
          <w:bCs/>
          <w:noProof/>
          <w:kern w:val="0"/>
          <w:sz w:val="22"/>
          <w:szCs w:val="22"/>
        </w:rPr>
        <w:drawing>
          <wp:inline distT="0" distB="0" distL="0" distR="0" wp14:anchorId="04572317" wp14:editId="3E30802F">
            <wp:extent cx="161925" cy="152400"/>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kern w:val="0"/>
          <w:sz w:val="22"/>
          <w:szCs w:val="22"/>
        </w:rPr>
        <w:t xml:space="preserve">. If you change your mind about an answer, put a line through the box </w:t>
      </w:r>
      <w:r>
        <w:rPr>
          <w:rFonts w:ascii="Arial" w:hAnsi="Arial" w:cs="Arial"/>
          <w:b/>
          <w:bCs/>
          <w:noProof/>
          <w:kern w:val="0"/>
          <w:sz w:val="22"/>
          <w:szCs w:val="22"/>
        </w:rPr>
        <w:drawing>
          <wp:inline distT="0" distB="0" distL="0" distR="0" wp14:anchorId="1DE9E7A0" wp14:editId="79685C9E">
            <wp:extent cx="200025" cy="161925"/>
            <wp:effectExtent l="0" t="0" r="0" b="0"/>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kern w:val="0"/>
          <w:sz w:val="22"/>
          <w:szCs w:val="22"/>
        </w:rPr>
        <w:t xml:space="preserve"> and then mark your new answer with a cross </w:t>
      </w:r>
      <w:r>
        <w:rPr>
          <w:rFonts w:ascii="Arial" w:hAnsi="Arial" w:cs="Arial"/>
          <w:b/>
          <w:bCs/>
          <w:noProof/>
          <w:kern w:val="0"/>
          <w:sz w:val="22"/>
          <w:szCs w:val="22"/>
        </w:rPr>
        <w:drawing>
          <wp:inline distT="0" distB="0" distL="0" distR="0" wp14:anchorId="3167966E" wp14:editId="3C7CAD6A">
            <wp:extent cx="161925" cy="152400"/>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kern w:val="0"/>
          <w:sz w:val="22"/>
          <w:szCs w:val="22"/>
        </w:rPr>
        <w:t>.</w:t>
      </w:r>
    </w:p>
    <w:p w14:paraId="37686DB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diagram shows an ECG trace and pressure changes in the aorta and in the left side of the heart.</w:t>
      </w:r>
    </w:p>
    <w:p w14:paraId="3C468A4E" w14:textId="0CB3B78D"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E02C15D" wp14:editId="535205C2">
            <wp:extent cx="4648200" cy="4362450"/>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0" cy="4362450"/>
                    </a:xfrm>
                    <a:prstGeom prst="rect">
                      <a:avLst/>
                    </a:prstGeom>
                    <a:noFill/>
                    <a:ln>
                      <a:noFill/>
                    </a:ln>
                  </pic:spPr>
                </pic:pic>
              </a:graphicData>
            </a:graphic>
          </wp:inline>
        </w:drawing>
      </w:r>
    </w:p>
    <w:p w14:paraId="7934B75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Valve A is the</w:t>
      </w:r>
    </w:p>
    <w:p w14:paraId="766A58BF"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68DB96FD" w14:textId="03DF7C00"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7AC110F5" wp14:editId="44E798D8">
            <wp:extent cx="152400" cy="152400"/>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atrioventricular</w:t>
      </w:r>
    </w:p>
    <w:p w14:paraId="4B3C4EA3" w14:textId="25429BA8"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5BB470BA" wp14:editId="7D6EF890">
            <wp:extent cx="152400" cy="152400"/>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mitral</w:t>
      </w:r>
    </w:p>
    <w:p w14:paraId="63A19E2D" w14:textId="74A095BF"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345574CD" wp14:editId="116BEE45">
            <wp:extent cx="152400" cy="152400"/>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semi-lunar</w:t>
      </w:r>
    </w:p>
    <w:p w14:paraId="4A3E11D1" w14:textId="69A273F7"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4D6E9F29" wp14:editId="2F8A59C4">
            <wp:extent cx="152400" cy="152400"/>
            <wp:effectExtent l="0" t="0" r="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bicuspid</w:t>
      </w:r>
    </w:p>
    <w:p w14:paraId="4A3E673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p>
    <w:p w14:paraId="570AEFEA"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1 mark)</w:t>
      </w:r>
    </w:p>
    <w:p w14:paraId="59A2C7A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4D28E90"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2CB400EE"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0948367"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2C81D13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The internal conditions within the body are maintained by homeostatic mechanisms. The regulation of blood glucose involves homeostatic mechanisms.</w:t>
      </w:r>
    </w:p>
    <w:p w14:paraId="0B434FA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diagram shows part of the sequence of events when there is an increase in blood glucose levels.</w:t>
      </w:r>
    </w:p>
    <w:p w14:paraId="305336AC" w14:textId="1F38F0E8"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27DCB4B3" wp14:editId="55B1C0A9">
            <wp:extent cx="6296025" cy="3257550"/>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3257550"/>
                    </a:xfrm>
                    <a:prstGeom prst="rect">
                      <a:avLst/>
                    </a:prstGeom>
                    <a:noFill/>
                    <a:ln>
                      <a:noFill/>
                    </a:ln>
                  </pic:spPr>
                </pic:pic>
              </a:graphicData>
            </a:graphic>
          </wp:inline>
        </w:drawing>
      </w:r>
    </w:p>
    <w:p w14:paraId="0365342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Describe how glucose moves into cells by facilitated diffusion.</w:t>
      </w:r>
    </w:p>
    <w:p w14:paraId="5C8DD969"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48DA81E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1B6AFA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87D2B4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4F2109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572905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1881F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23EE68E"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21F98F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13B611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Explain how the structure of glycogen allows it to be an energy store.</w:t>
      </w:r>
    </w:p>
    <w:p w14:paraId="6E07C242"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3AB44C3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1DBFB7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F4C0F1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3EC3BBB"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8BC1BE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3870B6B"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ECDB89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652EBBC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CE70CD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E5B4B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5525A99"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036A671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400B598"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A434775"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2193909"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6CADC67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Muscle cells contain myofibrils. The diagrams show the arrangement of some of the molecules present in a myofibril when calcium ions are absent and when they are present.</w:t>
      </w:r>
    </w:p>
    <w:p w14:paraId="61A3A5E9" w14:textId="7AF64852"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90CF178" wp14:editId="627699C7">
            <wp:extent cx="3867150" cy="1504950"/>
            <wp:effectExtent l="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504950"/>
                    </a:xfrm>
                    <a:prstGeom prst="rect">
                      <a:avLst/>
                    </a:prstGeom>
                    <a:noFill/>
                    <a:ln>
                      <a:noFill/>
                    </a:ln>
                  </pic:spPr>
                </pic:pic>
              </a:graphicData>
            </a:graphic>
          </wp:inline>
        </w:drawing>
      </w:r>
    </w:p>
    <w:p w14:paraId="5E20BE0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Describe how the concentration of calcium ions around the myofibrils is controlled.</w:t>
      </w:r>
    </w:p>
    <w:p w14:paraId="2926D8FA"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525EBEC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7C95E24"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32D450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ABCD42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92312F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19B55D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F37DC5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D0DA06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ED0116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38387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ADA1E5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CCAE0F8"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0E25837B"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031C30D"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20149A7F"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5177CCA2"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7BF23C2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Goblet cells lining the bronchi produce mucus. This mucus is released by exocytosis.</w:t>
      </w:r>
    </w:p>
    <w:p w14:paraId="16FB04E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how goblet cells release mucus by exocytosis.</w:t>
      </w:r>
    </w:p>
    <w:p w14:paraId="36F6FBB0"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3C22618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0E03988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AFE9CB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54CF5BD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2024F5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DABBF5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0D724B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8A7A931"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3127F31"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7A62BBB"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4CE86FD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All cells have a cell surface membrane.</w:t>
      </w:r>
    </w:p>
    <w:p w14:paraId="0C183D5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Cell surface membranes regulate the movement of substances into and out of cells.</w:t>
      </w:r>
    </w:p>
    <w:p w14:paraId="18F5F418"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Which of the following describes the movement of water by osmosis?</w:t>
      </w:r>
    </w:p>
    <w:p w14:paraId="2EA20D1E"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19DE0DEB" w14:textId="109C04E4"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60987C82" wp14:editId="6FA7BA1E">
            <wp:extent cx="6438900" cy="136207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1362075"/>
                    </a:xfrm>
                    <a:prstGeom prst="rect">
                      <a:avLst/>
                    </a:prstGeom>
                    <a:noFill/>
                    <a:ln>
                      <a:noFill/>
                    </a:ln>
                  </pic:spPr>
                </pic:pic>
              </a:graphicData>
            </a:graphic>
          </wp:inline>
        </w:drawing>
      </w:r>
    </w:p>
    <w:p w14:paraId="76C8B7E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The concentration of potassium ions inside an animal cell is many times higher than the concentration of potassium ions in the extracellular fluid.</w:t>
      </w:r>
    </w:p>
    <w:p w14:paraId="0D44EAD9" w14:textId="77777777"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Which mechanism is responsible for the uptake of potassium ions by this animal cell?</w:t>
      </w:r>
    </w:p>
    <w:p w14:paraId="27F2421A"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13DEACED" w14:textId="7219EF39"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54ED60FD" wp14:editId="6DA51B6C">
            <wp:extent cx="152400" cy="152400"/>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active transport</w:t>
      </w:r>
    </w:p>
    <w:p w14:paraId="609CAC87" w14:textId="5C62EBBF"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31AEBAFA" wp14:editId="4B000F97">
            <wp:extent cx="152400" cy="15240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exocytosis</w:t>
      </w:r>
    </w:p>
    <w:p w14:paraId="7593AC3A" w14:textId="0D64975B"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1747E655" wp14:editId="1ED5DBF9">
            <wp:extent cx="152400" cy="152400"/>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osmosis</w:t>
      </w:r>
    </w:p>
    <w:p w14:paraId="3D433092" w14:textId="0BC973E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3C5C18BB" wp14:editId="332ACB63">
            <wp:extent cx="152400" cy="152400"/>
            <wp:effectExtent l="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passive diffusion</w:t>
      </w:r>
    </w:p>
    <w:p w14:paraId="55AB227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t>(iii)</w:t>
      </w:r>
      <w:r>
        <w:rPr>
          <w:rFonts w:ascii="Arial" w:hAnsi="Arial" w:cs="Arial"/>
          <w:kern w:val="0"/>
          <w:sz w:val="22"/>
          <w:szCs w:val="22"/>
        </w:rPr>
        <w:t>  </w:t>
      </w:r>
      <w:r>
        <w:rPr>
          <w:rFonts w:ascii="Arial" w:hAnsi="Arial" w:cs="Arial"/>
          <w:kern w:val="0"/>
          <w:sz w:val="22"/>
          <w:szCs w:val="22"/>
        </w:rPr>
        <w:t>Glucose enters cells by facilitated diffusion.</w:t>
      </w:r>
    </w:p>
    <w:p w14:paraId="2156D9E6" w14:textId="77777777"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Which part of the cell surface membrane allows facilitated diffusion of glucose?</w:t>
      </w:r>
    </w:p>
    <w:p w14:paraId="1BF200C8"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2E14C349" w14:textId="01CB7F0F"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342D8D35" wp14:editId="74DDF34B">
            <wp:extent cx="152400" cy="152400"/>
            <wp:effectExtent l="0" t="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cholesterol</w:t>
      </w:r>
    </w:p>
    <w:p w14:paraId="6D949E0F" w14:textId="26F125B5"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lastRenderedPageBreak/>
        <w:drawing>
          <wp:inline distT="0" distB="0" distL="0" distR="0" wp14:anchorId="528F0AD6" wp14:editId="6897E9CC">
            <wp:extent cx="152400" cy="15240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glycolipid</w:t>
      </w:r>
    </w:p>
    <w:p w14:paraId="79809DC8" w14:textId="7338970B"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549F92C0" wp14:editId="3ACD5B69">
            <wp:extent cx="152400" cy="152400"/>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phospholipid</w:t>
      </w:r>
    </w:p>
    <w:p w14:paraId="5631F711" w14:textId="4DD2832D"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08CDB5E2" wp14:editId="5FDA1E8A">
            <wp:extent cx="152400" cy="152400"/>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protein</w:t>
      </w:r>
    </w:p>
    <w:p w14:paraId="55E0394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p>
    <w:p w14:paraId="1602BE3A"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02487198"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03A8260"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FA87285"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C3E3A67"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Q10.</w:t>
      </w:r>
      <w:r>
        <w:rPr>
          <w:rFonts w:ascii="Arial" w:hAnsi="Arial" w:cs="Arial"/>
          <w:b/>
          <w:bCs/>
          <w:kern w:val="0"/>
          <w:sz w:val="22"/>
          <w:szCs w:val="22"/>
        </w:rPr>
        <w:br/>
      </w:r>
      <w:r>
        <w:rPr>
          <w:rFonts w:ascii="Arial" w:hAnsi="Arial" w:cs="Arial"/>
          <w:kern w:val="0"/>
          <w:sz w:val="22"/>
          <w:szCs w:val="22"/>
        </w:rPr>
        <w:t> </w:t>
      </w:r>
    </w:p>
    <w:p w14:paraId="4A532BF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Mitochondrial disorders may be caused by mutations in the genes coding for mitochondrial components. Some of these genes are found in mitochondrial DNA (mtDNA) and some are found in nuclear DNA.</w:t>
      </w:r>
    </w:p>
    <w:p w14:paraId="73CAF64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Leigh syndrome is an example of a mitochondrial disorder. In this syndrome, a number of different proteins involved in respiration are affected.</w:t>
      </w:r>
    </w:p>
    <w:p w14:paraId="4C55ECA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These mutations may be inherited or may occur when DNA replicates.</w:t>
      </w:r>
    </w:p>
    <w:p w14:paraId="1765E41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Some people with Leigh syndrome have a mutation in the MT-ATP6 gene. </w:t>
      </w:r>
      <w:r>
        <w:rPr>
          <w:rFonts w:ascii="Arial" w:hAnsi="Arial" w:cs="Arial"/>
          <w:kern w:val="0"/>
          <w:sz w:val="22"/>
          <w:szCs w:val="22"/>
        </w:rPr>
        <w:br/>
        <w:t>This gene codes for ATP synthase.</w:t>
      </w:r>
    </w:p>
    <w:p w14:paraId="3AEC437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This is a point mutation at nucleotide 8993 that changes thymine to guanine.</w:t>
      </w:r>
    </w:p>
    <w:p w14:paraId="14E5D2E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What type of mutation is this?</w:t>
      </w:r>
    </w:p>
    <w:p w14:paraId="4FD990A2"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688E7C14" w14:textId="7DA7E66E"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56C74251" wp14:editId="3EF5FAEB">
            <wp:extent cx="152400" cy="152400"/>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insertion</w:t>
      </w:r>
    </w:p>
    <w:p w14:paraId="3D3AF451" w14:textId="659D07FD"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35480581" wp14:editId="3D725113">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monosomy</w:t>
      </w:r>
    </w:p>
    <w:p w14:paraId="19BB943B" w14:textId="065BF972"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2707E4CE" wp14:editId="08281FE3">
            <wp:extent cx="152400" cy="152400"/>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substitution</w:t>
      </w:r>
    </w:p>
    <w:p w14:paraId="4C3255E1" w14:textId="5DB7ED32"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74E17C7D" wp14:editId="2DE24D30">
            <wp:extent cx="152400" cy="152400"/>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translocation</w:t>
      </w:r>
    </w:p>
    <w:p w14:paraId="4215664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t>(ii)</w:t>
      </w:r>
      <w:r>
        <w:rPr>
          <w:rFonts w:ascii="Arial" w:hAnsi="Arial" w:cs="Arial"/>
          <w:kern w:val="0"/>
          <w:sz w:val="22"/>
          <w:szCs w:val="22"/>
        </w:rPr>
        <w:t>  </w:t>
      </w:r>
      <w:r>
        <w:rPr>
          <w:rFonts w:ascii="Arial" w:hAnsi="Arial" w:cs="Arial"/>
          <w:kern w:val="0"/>
          <w:sz w:val="22"/>
          <w:szCs w:val="22"/>
        </w:rPr>
        <w:t>Explain how this mutation could affect oxidative phosphorylation.</w:t>
      </w:r>
    </w:p>
    <w:p w14:paraId="4A01FEA6"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4992F10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534B73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2666D0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E70DB5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A9C5F8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C0937E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8B25071"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BC4C96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76E6F4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02AF8C87"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4 marks)</w:t>
      </w:r>
    </w:p>
    <w:p w14:paraId="23AEBE1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1BEF776"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6282D75"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E648ED7"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Q11.</w:t>
      </w:r>
      <w:r>
        <w:rPr>
          <w:rFonts w:ascii="Arial" w:hAnsi="Arial" w:cs="Arial"/>
          <w:b/>
          <w:bCs/>
          <w:kern w:val="0"/>
          <w:sz w:val="22"/>
          <w:szCs w:val="22"/>
        </w:rPr>
        <w:br/>
      </w:r>
      <w:r>
        <w:rPr>
          <w:rFonts w:ascii="Arial" w:hAnsi="Arial" w:cs="Arial"/>
          <w:kern w:val="0"/>
          <w:sz w:val="22"/>
          <w:szCs w:val="22"/>
        </w:rPr>
        <w:t> </w:t>
      </w:r>
    </w:p>
    <w:p w14:paraId="12C8947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A mutation of the </w:t>
      </w:r>
      <w:r>
        <w:rPr>
          <w:rFonts w:ascii="Arial" w:hAnsi="Arial" w:cs="Arial"/>
          <w:i/>
          <w:iCs/>
          <w:kern w:val="0"/>
          <w:sz w:val="22"/>
          <w:szCs w:val="22"/>
        </w:rPr>
        <w:t>F</w:t>
      </w:r>
      <w:r>
        <w:rPr>
          <w:rFonts w:ascii="Arial" w:hAnsi="Arial" w:cs="Arial"/>
          <w:kern w:val="0"/>
          <w:sz w:val="22"/>
          <w:szCs w:val="22"/>
        </w:rPr>
        <w:t>2 gene causes thrombophilia, a condition that results in the production of excess prothrombin.</w:t>
      </w:r>
    </w:p>
    <w:p w14:paraId="33F4623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In this gene mutation, guanine is replaced with adenine.</w:t>
      </w:r>
    </w:p>
    <w:p w14:paraId="4168884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Name this type of mutation.</w:t>
      </w:r>
    </w:p>
    <w:p w14:paraId="62421E9B"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1D9D0D5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D15345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People without this mutation have a 1 in 1000 risk of producing a blood clot in an artery.</w:t>
      </w:r>
    </w:p>
    <w:p w14:paraId="2186E6B9" w14:textId="77777777"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The mutation increases this risk by 20 times.</w:t>
      </w:r>
    </w:p>
    <w:p w14:paraId="4F4E0240" w14:textId="77777777" w:rsidR="00F64BF0" w:rsidRDefault="00F64BF0">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State the probability of producing a blood clot for people with this mutation.</w:t>
      </w:r>
    </w:p>
    <w:p w14:paraId="7EB9302E"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217A5A3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DE47DA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(iii)</w:t>
      </w:r>
      <w:r>
        <w:rPr>
          <w:rFonts w:ascii="Arial" w:hAnsi="Arial" w:cs="Arial"/>
          <w:kern w:val="0"/>
          <w:sz w:val="22"/>
          <w:szCs w:val="22"/>
        </w:rPr>
        <w:t>  </w:t>
      </w:r>
      <w:r>
        <w:rPr>
          <w:rFonts w:ascii="Arial" w:hAnsi="Arial" w:cs="Arial"/>
          <w:kern w:val="0"/>
          <w:sz w:val="22"/>
          <w:szCs w:val="22"/>
        </w:rPr>
        <w:t>Explain why thrombophilia increases the risk of producing a blood clot in an artery.</w:t>
      </w:r>
    </w:p>
    <w:p w14:paraId="71B51893"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4B7CC67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CD7E32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1325A6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3C24E2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03DCF6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E4A0E4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A11FF7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F839F5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7850F0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69F008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CE4D5BE"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71E8E6E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EEE7EE4"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6E869E02"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3D68A0DF"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Q12.</w:t>
      </w:r>
      <w:r>
        <w:rPr>
          <w:rFonts w:ascii="Arial" w:hAnsi="Arial" w:cs="Arial"/>
          <w:b/>
          <w:bCs/>
          <w:kern w:val="0"/>
          <w:sz w:val="22"/>
          <w:szCs w:val="22"/>
        </w:rPr>
        <w:br/>
      </w:r>
      <w:r>
        <w:rPr>
          <w:rFonts w:ascii="Arial" w:hAnsi="Arial" w:cs="Arial"/>
          <w:kern w:val="0"/>
          <w:sz w:val="22"/>
          <w:szCs w:val="22"/>
        </w:rPr>
        <w:t> </w:t>
      </w:r>
    </w:p>
    <w:p w14:paraId="71F0657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Leigh syndrome is a disease of the nervous system that affects the brain.</w:t>
      </w:r>
    </w:p>
    <w:p w14:paraId="2E70CFD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It is caused by a mutation in the DNA present inside mitochondria.</w:t>
      </w:r>
    </w:p>
    <w:p w14:paraId="38E1FD5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Mitochondrial diseases such as Leigh syndrome are passed on by the mother during fertilisation.</w:t>
      </w:r>
    </w:p>
    <w:p w14:paraId="50BFC53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Using IVF, it is possible to produce an embryo that does not have the mitochondrial disease.</w:t>
      </w:r>
    </w:p>
    <w:p w14:paraId="67FDE968"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nucleus is removed from a donor egg cell from another individual.</w:t>
      </w:r>
    </w:p>
    <w:p w14:paraId="12F0227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nucleus from a fertilised egg from a mother with the mutation is then placed in the egg cell from the donor.</w:t>
      </w:r>
    </w:p>
    <w:p w14:paraId="2167B18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Explain why the resulting embryo does not develop mitochondrial disease.</w:t>
      </w:r>
    </w:p>
    <w:p w14:paraId="2211A67D"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1A2CD038"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3CC0C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9BC29E5"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2A01858"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2D2E63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D6F517"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485722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E788028"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Comment on the inheritance of parental characteristics in offspring produced in this way.</w:t>
      </w:r>
    </w:p>
    <w:p w14:paraId="5FD95765"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2FFAA7DE"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E06B1E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1E31AD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088BD7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8D9232C"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D27178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FBDF632"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59AD4E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E560C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DBD9B9D"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E07A53B" w14:textId="77777777" w:rsidR="00F64BF0" w:rsidRDefault="00F64BF0">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065AC86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3C74746"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6F062E2E"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5B268E2D" w14:textId="77777777" w:rsidR="00F64BF0" w:rsidRDefault="00F64BF0">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Mark Scheme</w:t>
      </w:r>
    </w:p>
    <w:p w14:paraId="71292ABD"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r>
      <w:r>
        <w:rPr>
          <w:rFonts w:ascii="Arial" w:hAnsi="Arial" w:cs="Arial"/>
          <w:kern w:val="0"/>
          <w:sz w:val="22"/>
          <w:szCs w:val="22"/>
        </w:rPr>
        <w:t> </w:t>
      </w:r>
    </w:p>
    <w:p w14:paraId="53597F0F" w14:textId="52A3D8AE" w:rsidR="00F64BF0" w:rsidRDefault="00F64BF0">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0971B675" wp14:editId="7F8CABB2">
            <wp:extent cx="6667500" cy="273367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2733675"/>
                    </a:xfrm>
                    <a:prstGeom prst="rect">
                      <a:avLst/>
                    </a:prstGeom>
                    <a:noFill/>
                    <a:ln>
                      <a:noFill/>
                    </a:ln>
                  </pic:spPr>
                </pic:pic>
              </a:graphicData>
            </a:graphic>
          </wp:inline>
        </w:drawing>
      </w:r>
    </w:p>
    <w:p w14:paraId="2B6C3998"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14:paraId="71EA3935"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1A1A0E9"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70A6F1D1"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4F97E3B3" w14:textId="08EB1B75"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A716178" wp14:editId="083C35DD">
            <wp:extent cx="6477000" cy="240982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2409825"/>
                    </a:xfrm>
                    <a:prstGeom prst="rect">
                      <a:avLst/>
                    </a:prstGeom>
                    <a:noFill/>
                    <a:ln>
                      <a:noFill/>
                    </a:ln>
                  </pic:spPr>
                </pic:pic>
              </a:graphicData>
            </a:graphic>
          </wp:inline>
        </w:drawing>
      </w:r>
    </w:p>
    <w:p w14:paraId="11071EC6"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934561D"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7D87B9D"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570B1126"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5E9DB3D9" w14:textId="73D53CF6"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AB536ED" wp14:editId="71F23481">
            <wp:extent cx="6657975" cy="2847975"/>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7975" cy="2847975"/>
                    </a:xfrm>
                    <a:prstGeom prst="rect">
                      <a:avLst/>
                    </a:prstGeom>
                    <a:noFill/>
                    <a:ln>
                      <a:noFill/>
                    </a:ln>
                  </pic:spPr>
                </pic:pic>
              </a:graphicData>
            </a:graphic>
          </wp:inline>
        </w:drawing>
      </w:r>
    </w:p>
    <w:p w14:paraId="63096BE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B7CDE6B"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06DB1DA"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B4C98CB"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148E57C0" w14:textId="085484B5"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508DF04" wp14:editId="0D90D553">
            <wp:extent cx="6667500" cy="2390775"/>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390775"/>
                    </a:xfrm>
                    <a:prstGeom prst="rect">
                      <a:avLst/>
                    </a:prstGeom>
                    <a:noFill/>
                    <a:ln>
                      <a:noFill/>
                    </a:ln>
                  </pic:spPr>
                </pic:pic>
              </a:graphicData>
            </a:graphic>
          </wp:inline>
        </w:drawing>
      </w:r>
    </w:p>
    <w:p w14:paraId="33C921FA"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6293F03"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3763275A"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71E96DFA"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232CF833" w14:textId="743F56FE"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06069C8" wp14:editId="6B9CAA54">
            <wp:extent cx="6667500" cy="2028825"/>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2028825"/>
                    </a:xfrm>
                    <a:prstGeom prst="rect">
                      <a:avLst/>
                    </a:prstGeom>
                    <a:noFill/>
                    <a:ln>
                      <a:noFill/>
                    </a:ln>
                  </pic:spPr>
                </pic:pic>
              </a:graphicData>
            </a:graphic>
          </wp:inline>
        </w:drawing>
      </w:r>
    </w:p>
    <w:p w14:paraId="0F3A710E"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500FE639"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D000522"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54D19675"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0785EDAF" w14:textId="4BAE9A40"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DC6E283" wp14:editId="6600E719">
            <wp:extent cx="6515100" cy="6334125"/>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6334125"/>
                    </a:xfrm>
                    <a:prstGeom prst="rect">
                      <a:avLst/>
                    </a:prstGeom>
                    <a:noFill/>
                    <a:ln>
                      <a:noFill/>
                    </a:ln>
                  </pic:spPr>
                </pic:pic>
              </a:graphicData>
            </a:graphic>
          </wp:inline>
        </w:drawing>
      </w:r>
    </w:p>
    <w:p w14:paraId="37FC0A9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B304A81"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66A72169"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34B99E39"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4FF7CBD2" w14:textId="57E8129D"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51ECB905" wp14:editId="0B9E6DD4">
            <wp:extent cx="6667500" cy="3419475"/>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3419475"/>
                    </a:xfrm>
                    <a:prstGeom prst="rect">
                      <a:avLst/>
                    </a:prstGeom>
                    <a:noFill/>
                    <a:ln>
                      <a:noFill/>
                    </a:ln>
                  </pic:spPr>
                </pic:pic>
              </a:graphicData>
            </a:graphic>
          </wp:inline>
        </w:drawing>
      </w:r>
    </w:p>
    <w:p w14:paraId="70530C54"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D0CF8F0"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35B6E3EF"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4530C02"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41008DCE" w14:textId="3ECE60D7"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182D15B" wp14:editId="548CF636">
            <wp:extent cx="6791325" cy="386715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1325" cy="3867150"/>
                    </a:xfrm>
                    <a:prstGeom prst="rect">
                      <a:avLst/>
                    </a:prstGeom>
                    <a:noFill/>
                    <a:ln>
                      <a:noFill/>
                    </a:ln>
                  </pic:spPr>
                </pic:pic>
              </a:graphicData>
            </a:graphic>
          </wp:inline>
        </w:drawing>
      </w:r>
    </w:p>
    <w:p w14:paraId="4D4CF2F3"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C112953"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596B0ED9"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7B256F6C"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66308535" w14:textId="49B3B362"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2A6500D" wp14:editId="32D5A8A6">
            <wp:extent cx="6667500" cy="2752725"/>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2752725"/>
                    </a:xfrm>
                    <a:prstGeom prst="rect">
                      <a:avLst/>
                    </a:prstGeom>
                    <a:noFill/>
                    <a:ln>
                      <a:noFill/>
                    </a:ln>
                  </pic:spPr>
                </pic:pic>
              </a:graphicData>
            </a:graphic>
          </wp:inline>
        </w:drawing>
      </w:r>
    </w:p>
    <w:p w14:paraId="6E732F92" w14:textId="630B069B"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159BAD9" wp14:editId="1A986297">
            <wp:extent cx="6667500" cy="1895475"/>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1895475"/>
                    </a:xfrm>
                    <a:prstGeom prst="rect">
                      <a:avLst/>
                    </a:prstGeom>
                    <a:noFill/>
                    <a:ln>
                      <a:noFill/>
                    </a:ln>
                  </pic:spPr>
                </pic:pic>
              </a:graphicData>
            </a:graphic>
          </wp:inline>
        </w:drawing>
      </w:r>
    </w:p>
    <w:p w14:paraId="53F4F4C4" w14:textId="5EFCEC01"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A61D7AF" wp14:editId="411F0B2F">
            <wp:extent cx="6667500" cy="2247900"/>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2247900"/>
                    </a:xfrm>
                    <a:prstGeom prst="rect">
                      <a:avLst/>
                    </a:prstGeom>
                    <a:noFill/>
                    <a:ln>
                      <a:noFill/>
                    </a:ln>
                  </pic:spPr>
                </pic:pic>
              </a:graphicData>
            </a:graphic>
          </wp:inline>
        </w:drawing>
      </w:r>
    </w:p>
    <w:p w14:paraId="775EDF70"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DAEBC88"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383762A"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6558EB0B"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Q10.</w:t>
      </w:r>
      <w:r>
        <w:rPr>
          <w:rFonts w:ascii="Arial" w:hAnsi="Arial" w:cs="Arial"/>
          <w:b/>
          <w:bCs/>
          <w:kern w:val="0"/>
          <w:sz w:val="22"/>
          <w:szCs w:val="22"/>
        </w:rPr>
        <w:br/>
      </w:r>
      <w:r>
        <w:rPr>
          <w:rFonts w:ascii="Arial" w:hAnsi="Arial" w:cs="Arial"/>
          <w:kern w:val="0"/>
          <w:sz w:val="22"/>
          <w:szCs w:val="22"/>
        </w:rPr>
        <w:t> </w:t>
      </w:r>
    </w:p>
    <w:p w14:paraId="1F3DF145" w14:textId="3496283C"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569C2349" wp14:editId="0C69094B">
            <wp:extent cx="6667500" cy="156210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1562100"/>
                    </a:xfrm>
                    <a:prstGeom prst="rect">
                      <a:avLst/>
                    </a:prstGeom>
                    <a:noFill/>
                    <a:ln>
                      <a:noFill/>
                    </a:ln>
                  </pic:spPr>
                </pic:pic>
              </a:graphicData>
            </a:graphic>
          </wp:inline>
        </w:drawing>
      </w:r>
    </w:p>
    <w:p w14:paraId="265DA99A" w14:textId="24490632"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F028D6C" wp14:editId="7CBAC5F3">
            <wp:extent cx="6667500" cy="426720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4267200"/>
                    </a:xfrm>
                    <a:prstGeom prst="rect">
                      <a:avLst/>
                    </a:prstGeom>
                    <a:noFill/>
                    <a:ln>
                      <a:noFill/>
                    </a:ln>
                  </pic:spPr>
                </pic:pic>
              </a:graphicData>
            </a:graphic>
          </wp:inline>
        </w:drawing>
      </w:r>
    </w:p>
    <w:p w14:paraId="724041F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630D7AA"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3ACE4A55"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170673DA"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Q11.</w:t>
      </w:r>
      <w:r>
        <w:rPr>
          <w:rFonts w:ascii="Arial" w:hAnsi="Arial" w:cs="Arial"/>
          <w:b/>
          <w:bCs/>
          <w:kern w:val="0"/>
          <w:sz w:val="22"/>
          <w:szCs w:val="22"/>
        </w:rPr>
        <w:br/>
      </w:r>
      <w:r>
        <w:rPr>
          <w:rFonts w:ascii="Arial" w:hAnsi="Arial" w:cs="Arial"/>
          <w:kern w:val="0"/>
          <w:sz w:val="22"/>
          <w:szCs w:val="22"/>
        </w:rPr>
        <w:t> </w:t>
      </w:r>
    </w:p>
    <w:p w14:paraId="6D9724EB" w14:textId="46C18474"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FF84345" wp14:editId="1EF20BF5">
            <wp:extent cx="6496050" cy="847725"/>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847725"/>
                    </a:xfrm>
                    <a:prstGeom prst="rect">
                      <a:avLst/>
                    </a:prstGeom>
                    <a:noFill/>
                    <a:ln>
                      <a:noFill/>
                    </a:ln>
                  </pic:spPr>
                </pic:pic>
              </a:graphicData>
            </a:graphic>
          </wp:inline>
        </w:drawing>
      </w:r>
    </w:p>
    <w:p w14:paraId="5A704A73" w14:textId="1B69D25E"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239A281" wp14:editId="7F2DCEF7">
            <wp:extent cx="6496050" cy="100965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1009650"/>
                    </a:xfrm>
                    <a:prstGeom prst="rect">
                      <a:avLst/>
                    </a:prstGeom>
                    <a:noFill/>
                    <a:ln>
                      <a:noFill/>
                    </a:ln>
                  </pic:spPr>
                </pic:pic>
              </a:graphicData>
            </a:graphic>
          </wp:inline>
        </w:drawing>
      </w:r>
    </w:p>
    <w:p w14:paraId="20E4FA04" w14:textId="5930ED87"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081C130C" wp14:editId="3A7C9A1C">
            <wp:extent cx="6496050" cy="266700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6050" cy="2667000"/>
                    </a:xfrm>
                    <a:prstGeom prst="rect">
                      <a:avLst/>
                    </a:prstGeom>
                    <a:noFill/>
                    <a:ln>
                      <a:noFill/>
                    </a:ln>
                  </pic:spPr>
                </pic:pic>
              </a:graphicData>
            </a:graphic>
          </wp:inline>
        </w:drawing>
      </w:r>
    </w:p>
    <w:p w14:paraId="0B5835EF"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219DA6E"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44DD882D"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01BDF481" w14:textId="77777777" w:rsidR="00F64BF0" w:rsidRDefault="00F64BF0">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Q12.</w:t>
      </w:r>
      <w:r>
        <w:rPr>
          <w:rFonts w:ascii="Arial" w:hAnsi="Arial" w:cs="Arial"/>
          <w:b/>
          <w:bCs/>
          <w:kern w:val="0"/>
          <w:sz w:val="22"/>
          <w:szCs w:val="22"/>
        </w:rPr>
        <w:br/>
      </w:r>
      <w:r>
        <w:rPr>
          <w:rFonts w:ascii="Arial" w:hAnsi="Arial" w:cs="Arial"/>
          <w:kern w:val="0"/>
          <w:sz w:val="22"/>
          <w:szCs w:val="22"/>
        </w:rPr>
        <w:t> </w:t>
      </w:r>
    </w:p>
    <w:p w14:paraId="6F599748" w14:textId="1ED86096"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8136137" wp14:editId="24C46EB8">
            <wp:extent cx="6667500" cy="201930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2019300"/>
                    </a:xfrm>
                    <a:prstGeom prst="rect">
                      <a:avLst/>
                    </a:prstGeom>
                    <a:noFill/>
                    <a:ln>
                      <a:noFill/>
                    </a:ln>
                  </pic:spPr>
                </pic:pic>
              </a:graphicData>
            </a:graphic>
          </wp:inline>
        </w:drawing>
      </w:r>
    </w:p>
    <w:p w14:paraId="5B0D9B9E" w14:textId="43763A5A" w:rsidR="00F64BF0" w:rsidRDefault="00F64BF0">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A855B1D" wp14:editId="645F9F7C">
            <wp:extent cx="6667500" cy="3476625"/>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3476625"/>
                    </a:xfrm>
                    <a:prstGeom prst="rect">
                      <a:avLst/>
                    </a:prstGeom>
                    <a:noFill/>
                    <a:ln>
                      <a:noFill/>
                    </a:ln>
                  </pic:spPr>
                </pic:pic>
              </a:graphicData>
            </a:graphic>
          </wp:inline>
        </w:drawing>
      </w:r>
    </w:p>
    <w:p w14:paraId="3417F3E9" w14:textId="77777777" w:rsidR="00F64BF0" w:rsidRDefault="00F64BF0">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15F5009F" w14:textId="77777777" w:rsidR="00F64BF0" w:rsidRDefault="00F64BF0">
      <w:pPr>
        <w:widowControl w:val="0"/>
        <w:autoSpaceDE w:val="0"/>
        <w:autoSpaceDN w:val="0"/>
        <w:adjustRightInd w:val="0"/>
        <w:spacing w:after="0" w:line="240" w:lineRule="auto"/>
        <w:rPr>
          <w:rFonts w:ascii="Arial" w:hAnsi="Arial" w:cs="Arial"/>
          <w:kern w:val="0"/>
          <w:sz w:val="22"/>
          <w:szCs w:val="22"/>
        </w:rPr>
      </w:pPr>
    </w:p>
    <w:p w14:paraId="73259878" w14:textId="77777777" w:rsidR="00F64BF0" w:rsidRDefault="00F64BF0">
      <w:pPr>
        <w:widowControl w:val="0"/>
        <w:autoSpaceDE w:val="0"/>
        <w:autoSpaceDN w:val="0"/>
        <w:adjustRightInd w:val="0"/>
        <w:spacing w:after="0" w:line="240" w:lineRule="auto"/>
        <w:rPr>
          <w:rFonts w:ascii="Arial" w:hAnsi="Arial" w:cs="Arial"/>
          <w:kern w:val="0"/>
          <w:sz w:val="22"/>
          <w:szCs w:val="22"/>
        </w:rPr>
      </w:pPr>
    </w:p>
    <w:sectPr w:rsidR="00000000">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BF0"/>
    <w:rsid w:val="0029641F"/>
    <w:rsid w:val="00F64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2C44BD"/>
  <w14:defaultImageDpi w14:val="0"/>
  <w15:docId w15:val="{0901289D-08D7-448C-BEAB-0965D7579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2928</Words>
  <Characters>16692</Characters>
  <Application>Microsoft Office Word</Application>
  <DocSecurity>0</DocSecurity>
  <Lines>139</Lines>
  <Paragraphs>39</Paragraphs>
  <ScaleCrop>false</ScaleCrop>
  <Company/>
  <LinksUpToDate>false</LinksUpToDate>
  <CharactersWithSpaces>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 Fenn</dc:creator>
  <cp:keywords/>
  <dc:description/>
  <cp:lastModifiedBy>Ms J Fenn</cp:lastModifiedBy>
  <cp:revision>2</cp:revision>
  <dcterms:created xsi:type="dcterms:W3CDTF">2025-04-23T13:26:00Z</dcterms:created>
  <dcterms:modified xsi:type="dcterms:W3CDTF">2025-04-23T13:26:00Z</dcterms:modified>
</cp:coreProperties>
</file>