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BA0587">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Questions</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A pathologist can use a number of methods to estimate the time of death of a body found at a crime scene.</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The graph below shows variation in the body temperature of a living person over a period of 24 hours.</w:t>
      </w:r>
    </w:p>
    <w:p w:rsidR="00000000" w:rsidRDefault="00BA058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572125" cy="657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72125" cy="6572250"/>
                    </a:xfrm>
                    <a:prstGeom prst="rect">
                      <a:avLst/>
                    </a:prstGeom>
                    <a:noFill/>
                    <a:ln>
                      <a:noFill/>
                    </a:ln>
                  </pic:spPr>
                </pic:pic>
              </a:graphicData>
            </a:graphic>
          </wp:inline>
        </w:drawing>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(i)</w:t>
      </w:r>
      <w:r>
        <w:rPr>
          <w:rFonts w:ascii="Arial" w:hAnsi="Arial" w:cs="Arial"/>
        </w:rPr>
        <w:t>  </w:t>
      </w:r>
      <w:r>
        <w:rPr>
          <w:rFonts w:ascii="Arial" w:hAnsi="Arial" w:cs="Arial"/>
        </w:rPr>
        <w:t>Using the information in the graph, calculate the maximum change in body temperature over this period of 24 hours</w:t>
      </w:r>
      <w:r>
        <w:rPr>
          <w:rFonts w:ascii="Arial" w:hAnsi="Arial" w:cs="Arial"/>
        </w:rPr>
        <w:t>.</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BA0587">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 xml:space="preserve"> ........................................................... </w:t>
      </w:r>
      <w:r>
        <w:rPr>
          <w:rFonts w:ascii="Arial" w:hAnsi="Arial" w:cs="Arial"/>
        </w:rPr>
        <w:t>°</w:t>
      </w:r>
      <w:r>
        <w:rPr>
          <w:rFonts w:ascii="Arial" w:hAnsi="Arial" w:cs="Arial"/>
        </w:rPr>
        <w:t xml:space="preserve">C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(ii)</w:t>
      </w:r>
      <w:r>
        <w:rPr>
          <w:rFonts w:ascii="Arial" w:hAnsi="Arial" w:cs="Arial"/>
        </w:rPr>
        <w:t>  </w:t>
      </w:r>
      <w:r>
        <w:rPr>
          <w:rFonts w:ascii="Arial" w:hAnsi="Arial" w:cs="Arial"/>
        </w:rPr>
        <w:t>Suggest how a pathologist could use the information in this graph to estimate the time of death of a body at a crime scene.</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rPr>
        <w:t xml:space="preserve">(Total for question = 4 </w:t>
      </w:r>
      <w:r>
        <w:rPr>
          <w:rFonts w:ascii="Arial" w:hAnsi="Arial" w:cs="Arial"/>
          <w:b/>
          <w:bCs/>
        </w:rPr>
        <w:t>marks)</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Q2.</w:t>
      </w:r>
      <w:r>
        <w:rPr>
          <w:rFonts w:ascii="Arial" w:hAnsi="Arial" w:cs="Arial"/>
          <w:b/>
          <w:bCs/>
        </w:rPr>
        <w:br/>
      </w:r>
      <w:r>
        <w:rPr>
          <w:rFonts w:ascii="Arial" w:hAnsi="Arial" w:cs="Arial"/>
        </w:rPr>
        <w:t> </w:t>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t xml:space="preserve">Blood infection caused by the bacterium, methicillin-resistant </w:t>
      </w:r>
      <w:r>
        <w:rPr>
          <w:rFonts w:ascii="Arial" w:hAnsi="Arial" w:cs="Arial"/>
          <w:i/>
          <w:iCs/>
        </w:rPr>
        <w:t>Staphylococcus aureus</w:t>
      </w:r>
      <w:r>
        <w:rPr>
          <w:rFonts w:ascii="Arial" w:hAnsi="Arial" w:cs="Arial"/>
        </w:rPr>
        <w:t xml:space="preserve"> (MRSA), has become a major concern in hospitals. This infection can be difficult to treat due to increasing resistance of MRSA to bacteriostatic and bactericidal antibiotics.</w:t>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t xml:space="preserve">(a) Explain what is meant by the terms </w:t>
      </w:r>
      <w:r>
        <w:rPr>
          <w:rFonts w:ascii="Arial" w:hAnsi="Arial" w:cs="Arial"/>
          <w:b/>
          <w:bCs/>
        </w:rPr>
        <w:t>bacteriostatic antibiotic</w:t>
      </w:r>
      <w:r>
        <w:rPr>
          <w:rFonts w:ascii="Arial" w:hAnsi="Arial" w:cs="Arial"/>
        </w:rPr>
        <w:t xml:space="preserve"> and </w:t>
      </w:r>
      <w:r>
        <w:rPr>
          <w:rFonts w:ascii="Arial" w:hAnsi="Arial" w:cs="Arial"/>
          <w:b/>
          <w:bCs/>
        </w:rPr>
        <w:t>bactericida</w:t>
      </w:r>
      <w:r>
        <w:rPr>
          <w:rFonts w:ascii="Arial" w:hAnsi="Arial" w:cs="Arial"/>
          <w:b/>
          <w:bCs/>
        </w:rPr>
        <w:t>l antibiotic</w:t>
      </w:r>
      <w:r>
        <w:rPr>
          <w:rFonts w:ascii="Arial" w:hAnsi="Arial" w:cs="Arial"/>
        </w:rPr>
        <w:t>.</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t>(b) The graph below shows the occurrence of MRSA infection in four hospitals, A, B, C, and D for the period fr</w:t>
      </w:r>
      <w:r>
        <w:rPr>
          <w:rFonts w:ascii="Arial" w:hAnsi="Arial" w:cs="Arial"/>
        </w:rPr>
        <w:t>om April 2001 to March 2005. The rate of MRSA infection in each hospital during each six-month period was recorded.</w:t>
      </w:r>
    </w:p>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372225" cy="3457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2225" cy="345757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t>Compare the rates of MRSA infection in hospital A with those in hospital B.</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br/>
      </w:r>
      <w:r>
        <w:rPr>
          <w:rFonts w:ascii="Arial" w:hAnsi="Arial" w:cs="Arial"/>
        </w:rPr>
        <w:br/>
      </w:r>
      <w:r>
        <w:rPr>
          <w:rFonts w:ascii="Arial" w:hAnsi="Arial" w:cs="Arial"/>
        </w:rPr>
        <w:t>(c) MRSA is pr</w:t>
      </w:r>
      <w:r>
        <w:rPr>
          <w:rFonts w:ascii="Arial" w:hAnsi="Arial" w:cs="Arial"/>
        </w:rPr>
        <w:t>esent on the skin of approximately 1 in 3 of all patients entering hospitals for treatment.</w:t>
      </w:r>
    </w:p>
    <w:p w:rsidR="00000000" w:rsidRDefault="00BA0587">
      <w:pPr>
        <w:widowControl w:val="0"/>
        <w:autoSpaceDE w:val="0"/>
        <w:autoSpaceDN w:val="0"/>
        <w:adjustRightInd w:val="0"/>
        <w:spacing w:after="0" w:line="240" w:lineRule="auto"/>
        <w:ind w:left="450"/>
        <w:rPr>
          <w:rFonts w:ascii="Arial" w:hAnsi="Arial" w:cs="Arial"/>
        </w:rPr>
      </w:pPr>
      <w:r>
        <w:rPr>
          <w:rFonts w:ascii="Arial" w:hAnsi="Arial" w:cs="Arial"/>
        </w:rPr>
        <w:t>(i) Describe the most significant difference between the rate of MRSA infection in hospital D compared with those of the other three hospitals.</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after="0" w:line="240" w:lineRule="auto"/>
        <w:ind w:left="450"/>
        <w:rPr>
          <w:rFonts w:ascii="Arial" w:hAnsi="Arial" w:cs="Arial"/>
        </w:rPr>
      </w:pPr>
      <w:r>
        <w:rPr>
          <w:rFonts w:ascii="Arial" w:hAnsi="Arial" w:cs="Arial"/>
        </w:rPr>
        <w:t>(ii) Suggest why the rate of MRSA infection in hospital D differs from the rates in the other ho</w:t>
      </w:r>
      <w:r>
        <w:rPr>
          <w:rFonts w:ascii="Arial" w:hAnsi="Arial" w:cs="Arial"/>
        </w:rPr>
        <w:t>spitals.</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10 marks)</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Q3.</w:t>
      </w:r>
      <w:r>
        <w:rPr>
          <w:rFonts w:ascii="Arial" w:hAnsi="Arial" w:cs="Arial"/>
          <w:b/>
          <w:bCs/>
        </w:rPr>
        <w:br/>
      </w:r>
      <w:r>
        <w:rPr>
          <w:rFonts w:ascii="Arial" w:hAnsi="Arial" w:cs="Arial"/>
        </w:rPr>
        <w:t> </w:t>
      </w:r>
    </w:p>
    <w:p w:rsidR="00000000" w:rsidRDefault="00BA0587">
      <w:pPr>
        <w:widowControl w:val="0"/>
        <w:autoSpaceDE w:val="0"/>
        <w:autoSpaceDN w:val="0"/>
        <w:adjustRightInd w:val="0"/>
        <w:spacing w:after="0" w:line="240" w:lineRule="auto"/>
        <w:ind w:left="240"/>
        <w:rPr>
          <w:rFonts w:ascii="Arial" w:hAnsi="Arial" w:cs="Arial"/>
        </w:rPr>
      </w:pPr>
      <w:r>
        <w:rPr>
          <w:rFonts w:ascii="Arial" w:hAnsi="Arial" w:cs="Arial"/>
        </w:rPr>
        <w:t>In the immune response, antibodies are produced that are specific to t</w:t>
      </w:r>
      <w:r>
        <w:rPr>
          <w:rFonts w:ascii="Arial" w:hAnsi="Arial" w:cs="Arial"/>
        </w:rPr>
        <w:t>he antigens of</w:t>
      </w:r>
      <w:r>
        <w:rPr>
          <w:rFonts w:ascii="Arial" w:hAnsi="Arial" w:cs="Arial"/>
        </w:rPr>
        <w:br/>
      </w:r>
      <w:r>
        <w:rPr>
          <w:rFonts w:ascii="Arial" w:hAnsi="Arial" w:cs="Arial"/>
        </w:rPr>
        <w:t>the pathogen causing the infection.</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 xml:space="preserve">(a) Place a cross </w:t>
      </w:r>
      <w:r>
        <w:rPr>
          <w:rFonts w:ascii="Arial" w:hAnsi="Arial" w:cs="Arial"/>
          <w:noProof/>
        </w:rPr>
        <w:drawing>
          <wp:inline distT="0" distB="0" distL="0" distR="0">
            <wp:extent cx="142875" cy="14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xml:space="preserve"> in the box next to the type of cell that produces antibodies as part</w:t>
      </w:r>
      <w:r>
        <w:rPr>
          <w:rFonts w:ascii="Arial" w:hAnsi="Arial" w:cs="Arial"/>
        </w:rPr>
        <w:br/>
      </w:r>
      <w:r>
        <w:rPr>
          <w:rFonts w:ascii="Arial" w:hAnsi="Arial" w:cs="Arial"/>
        </w:rPr>
        <w:t>of the immune response.</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A</w:t>
      </w:r>
      <w:r>
        <w:rPr>
          <w:rFonts w:ascii="Arial" w:hAnsi="Arial" w:cs="Arial"/>
        </w:rPr>
        <w:t>  </w:t>
      </w:r>
      <w:r>
        <w:rPr>
          <w:rFonts w:ascii="Arial" w:hAnsi="Arial" w:cs="Arial"/>
        </w:rPr>
        <w:t>erythrocyte</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B</w:t>
      </w:r>
      <w:r>
        <w:rPr>
          <w:rFonts w:ascii="Arial" w:hAnsi="Arial" w:cs="Arial"/>
        </w:rPr>
        <w:t>  </w:t>
      </w:r>
      <w:r>
        <w:rPr>
          <w:rFonts w:ascii="Arial" w:hAnsi="Arial" w:cs="Arial"/>
        </w:rPr>
        <w:t>macrophage</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C</w:t>
      </w:r>
      <w:r>
        <w:rPr>
          <w:rFonts w:ascii="Arial" w:hAnsi="Arial" w:cs="Arial"/>
        </w:rPr>
        <w:t>  </w:t>
      </w:r>
      <w:r>
        <w:rPr>
          <w:rFonts w:ascii="Arial" w:hAnsi="Arial" w:cs="Arial"/>
        </w:rPr>
        <w:t>plasma cell</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142875" cy="14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rPr>
        <w:t>   </w:t>
      </w:r>
      <w:r>
        <w:rPr>
          <w:rFonts w:ascii="Arial" w:hAnsi="Arial" w:cs="Arial"/>
          <w:b/>
          <w:bCs/>
        </w:rPr>
        <w:t>D</w:t>
      </w:r>
      <w:r>
        <w:rPr>
          <w:rFonts w:ascii="Arial" w:hAnsi="Arial" w:cs="Arial"/>
        </w:rPr>
        <w:t>  </w:t>
      </w:r>
      <w:r>
        <w:rPr>
          <w:rFonts w:ascii="Arial" w:hAnsi="Arial" w:cs="Arial"/>
        </w:rPr>
        <w:t>thrombocyte</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(b) In pigs, the disease known as post-weaning multisystematic syndrome (PWMS)</w:t>
      </w:r>
      <w:r>
        <w:rPr>
          <w:rFonts w:ascii="Arial" w:hAnsi="Arial" w:cs="Arial"/>
        </w:rPr>
        <w:br/>
      </w:r>
      <w:r>
        <w:rPr>
          <w:rFonts w:ascii="Arial" w:hAnsi="Arial" w:cs="Arial"/>
        </w:rPr>
        <w:t>is caused by the PCV2 virus. Common symptoms of PWMS include weight loss,</w:t>
      </w:r>
      <w:r>
        <w:rPr>
          <w:rFonts w:ascii="Arial" w:hAnsi="Arial" w:cs="Arial"/>
        </w:rPr>
        <w:br/>
      </w:r>
      <w:r>
        <w:rPr>
          <w:rFonts w:ascii="Arial" w:hAnsi="Arial" w:cs="Arial"/>
        </w:rPr>
        <w:t>breathing difficulties and enlargement of the lym</w:t>
      </w:r>
      <w:r>
        <w:rPr>
          <w:rFonts w:ascii="Arial" w:hAnsi="Arial" w:cs="Arial"/>
        </w:rPr>
        <w:t>ph nodes. Most pigs diagnosed</w:t>
      </w:r>
      <w:r>
        <w:rPr>
          <w:rFonts w:ascii="Arial" w:hAnsi="Arial" w:cs="Arial"/>
        </w:rPr>
        <w:br/>
      </w:r>
      <w:r>
        <w:rPr>
          <w:rFonts w:ascii="Arial" w:hAnsi="Arial" w:cs="Arial"/>
        </w:rPr>
        <w:t>with PWMS will have to be destroyed.</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A new vaccine has been developed to give gilts (female pigs having their first</w:t>
      </w:r>
      <w:r>
        <w:rPr>
          <w:rFonts w:ascii="Arial" w:hAnsi="Arial" w:cs="Arial"/>
        </w:rPr>
        <w:br/>
      </w:r>
      <w:r>
        <w:rPr>
          <w:rFonts w:ascii="Arial" w:hAnsi="Arial" w:cs="Arial"/>
        </w:rPr>
        <w:t>pregnancy) active immunity against PWMS. To test this vaccine, gilts were divided</w:t>
      </w:r>
      <w:r>
        <w:rPr>
          <w:rFonts w:ascii="Arial" w:hAnsi="Arial" w:cs="Arial"/>
        </w:rPr>
        <w:br/>
      </w:r>
      <w:r>
        <w:rPr>
          <w:rFonts w:ascii="Arial" w:hAnsi="Arial" w:cs="Arial"/>
        </w:rPr>
        <w:t>into two groups, A and B.</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Gr</w:t>
      </w:r>
      <w:r>
        <w:rPr>
          <w:rFonts w:ascii="Arial" w:hAnsi="Arial" w:cs="Arial"/>
        </w:rPr>
        <w:t>oup A gilts were vaccinated against PWMS on day 0, at the start of pregnancy.</w:t>
      </w:r>
      <w:r>
        <w:rPr>
          <w:rFonts w:ascii="Arial" w:hAnsi="Arial" w:cs="Arial"/>
        </w:rPr>
        <w:br/>
      </w:r>
      <w:r>
        <w:rPr>
          <w:rFonts w:ascii="Arial" w:hAnsi="Arial" w:cs="Arial"/>
        </w:rPr>
        <w:t>A second vaccination was given on day 20. A final vaccination was given on</w:t>
      </w:r>
      <w:r>
        <w:rPr>
          <w:rFonts w:ascii="Arial" w:hAnsi="Arial" w:cs="Arial"/>
        </w:rPr>
        <w:br/>
      </w:r>
      <w:r>
        <w:rPr>
          <w:rFonts w:ascii="Arial" w:hAnsi="Arial" w:cs="Arial"/>
        </w:rPr>
        <w:t>day 140, approximately 20 days before they were due to give birth.</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Group B gilts were given no vaccine.</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The graph below shows the results of blood tests to measure the concentration of</w:t>
      </w:r>
      <w:r>
        <w:rPr>
          <w:rFonts w:ascii="Arial" w:hAnsi="Arial" w:cs="Arial"/>
        </w:rPr>
        <w:br/>
      </w:r>
      <w:r>
        <w:rPr>
          <w:rFonts w:ascii="Arial" w:hAnsi="Arial" w:cs="Arial"/>
        </w:rPr>
        <w:t>PCV2 antibodies in these two groups.</w:t>
      </w:r>
    </w:p>
    <w:p w:rsidR="00000000" w:rsidRDefault="00BA0587">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372225" cy="347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347662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 xml:space="preserve">(i) Describe how the vaccine gives </w:t>
      </w:r>
      <w:r>
        <w:rPr>
          <w:rFonts w:ascii="Arial" w:hAnsi="Arial" w:cs="Arial"/>
          <w:b/>
          <w:bCs/>
        </w:rPr>
        <w:t>active immunity</w:t>
      </w:r>
      <w:r>
        <w:rPr>
          <w:rFonts w:ascii="Arial" w:hAnsi="Arial" w:cs="Arial"/>
        </w:rPr>
        <w:t xml:space="preserve"> against PWMS.</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(ii) Apart from having no vaccine, suggest how group B should be treated during</w:t>
      </w:r>
      <w:r>
        <w:rPr>
          <w:rFonts w:ascii="Arial" w:hAnsi="Arial" w:cs="Arial"/>
        </w:rPr>
        <w:br/>
      </w:r>
      <w:r>
        <w:rPr>
          <w:rFonts w:ascii="Arial" w:hAnsi="Arial" w:cs="Arial"/>
        </w:rPr>
        <w:t>the test. Give reasons for your answer.</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(iii) Compare the changes in concentrations of PCV2 antibodies in the blood of</w:t>
      </w:r>
      <w:r>
        <w:rPr>
          <w:rFonts w:ascii="Arial" w:hAnsi="Arial" w:cs="Arial"/>
        </w:rPr>
        <w:br/>
      </w:r>
      <w:r>
        <w:rPr>
          <w:rFonts w:ascii="Arial" w:hAnsi="Arial" w:cs="Arial"/>
        </w:rPr>
        <w:t>the two groups of gilts during pregnancy.</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(iv) The table below shows the concentration of PCV2 antibodies detected in</w:t>
      </w:r>
      <w:r>
        <w:rPr>
          <w:rFonts w:ascii="Arial" w:hAnsi="Arial" w:cs="Arial"/>
        </w:rPr>
        <w:br/>
      </w:r>
      <w:r>
        <w:rPr>
          <w:rFonts w:ascii="Arial" w:hAnsi="Arial" w:cs="Arial"/>
        </w:rPr>
        <w:t>the piglets produced by the two groups of gilts, during the first 40 days after</w:t>
      </w:r>
      <w:r>
        <w:rPr>
          <w:rFonts w:ascii="Arial" w:hAnsi="Arial" w:cs="Arial"/>
        </w:rPr>
        <w:br/>
      </w:r>
      <w:r>
        <w:rPr>
          <w:rFonts w:ascii="Arial" w:hAnsi="Arial" w:cs="Arial"/>
        </w:rPr>
        <w:t>bir</w:t>
      </w:r>
      <w:r>
        <w:rPr>
          <w:rFonts w:ascii="Arial" w:hAnsi="Arial" w:cs="Arial"/>
        </w:rPr>
        <w:t>th.</w:t>
      </w:r>
    </w:p>
    <w:tbl>
      <w:tblPr>
        <w:tblW w:w="0" w:type="auto"/>
        <w:jc w:val="center"/>
        <w:tblLayout w:type="fixed"/>
        <w:tblLook w:val="0000" w:firstRow="0" w:lastRow="0" w:firstColumn="0" w:lastColumn="0" w:noHBand="0" w:noVBand="0"/>
      </w:tblPr>
      <w:tblGrid>
        <w:gridCol w:w="3096"/>
        <w:gridCol w:w="1"/>
        <w:gridCol w:w="3059"/>
        <w:gridCol w:w="3060"/>
      </w:tblGrid>
      <w:tr w:rsidR="00000000">
        <w:tblPrEx>
          <w:tblCellMar>
            <w:top w:w="0" w:type="dxa"/>
            <w:bottom w:w="0" w:type="dxa"/>
          </w:tblCellMar>
        </w:tblPrEx>
        <w:trPr>
          <w:jc w:val="center"/>
        </w:trPr>
        <w:tc>
          <w:tcPr>
            <w:tcW w:w="3096" w:type="dxa"/>
            <w:vMerge w:val="restart"/>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Age of piglets</w:t>
            </w:r>
            <w:r>
              <w:rPr>
                <w:rFonts w:ascii="Arial" w:hAnsi="Arial" w:cs="Arial"/>
                <w:b/>
                <w:bCs/>
              </w:rPr>
              <w:br/>
            </w:r>
            <w:r>
              <w:rPr>
                <w:rFonts w:ascii="Arial" w:hAnsi="Arial" w:cs="Arial"/>
                <w:b/>
                <w:bCs/>
              </w:rPr>
              <w:t xml:space="preserve"> / days </w:t>
            </w:r>
          </w:p>
        </w:tc>
        <w:tc>
          <w:tcPr>
            <w:tcW w:w="6120" w:type="dxa"/>
            <w:hMerge w:val="restart"/>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Concentration of PCV2 antibodies</w:t>
            </w:r>
            <w:r>
              <w:rPr>
                <w:rFonts w:ascii="Arial" w:hAnsi="Arial" w:cs="Arial"/>
                <w:b/>
                <w:bCs/>
              </w:rPr>
              <w:br/>
            </w:r>
            <w:r>
              <w:rPr>
                <w:rFonts w:ascii="Arial" w:hAnsi="Arial" w:cs="Arial"/>
                <w:b/>
                <w:bCs/>
              </w:rPr>
              <w:t xml:space="preserve"> / arbitrary units </w:t>
            </w:r>
          </w:p>
        </w:tc>
        <w:tc>
          <w:tcPr>
            <w:gridSpan w:val="2"/>
            <w:hMerge/>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p>
        </w:tc>
      </w:tr>
      <w:tr w:rsidR="00000000">
        <w:tblPrEx>
          <w:tblCellMar>
            <w:top w:w="0" w:type="dxa"/>
            <w:bottom w:w="0" w:type="dxa"/>
          </w:tblCellMar>
        </w:tblPrEx>
        <w:trPr>
          <w:jc w:val="center"/>
        </w:trPr>
        <w:tc>
          <w:tcPr>
            <w:tcW w:w="3096" w:type="dxa"/>
            <w:vMerge/>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rPr>
                <w:rFonts w:ascii="Arial" w:hAnsi="Arial" w:cs="Arial"/>
              </w:rPr>
            </w:pPr>
            <w:r>
              <w:rPr>
                <w:rFonts w:ascii="Arial" w:hAnsi="Arial" w:cs="Arial"/>
              </w:rPr>
              <w:t xml:space="preserve">%%% </w:t>
            </w:r>
          </w:p>
        </w:tc>
        <w:tc>
          <w:tcPr>
            <w:tcW w:w="3060" w:type="dxa"/>
            <w:gridSpan w:val="2"/>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b/>
                <w:bCs/>
              </w:rPr>
            </w:pPr>
            <w:r>
              <w:rPr>
                <w:rFonts w:ascii="Arial" w:hAnsi="Arial" w:cs="Arial"/>
                <w:b/>
                <w:bCs/>
              </w:rPr>
              <w:t xml:space="preserve">Group A piglets </w:t>
            </w:r>
          </w:p>
        </w:tc>
        <w:tc>
          <w:tcPr>
            <w:tcW w:w="3060"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b/>
                <w:bCs/>
              </w:rPr>
            </w:pPr>
            <w:r>
              <w:rPr>
                <w:rFonts w:ascii="Arial" w:hAnsi="Arial" w:cs="Arial"/>
                <w:b/>
                <w:bCs/>
              </w:rPr>
              <w:t xml:space="preserve">Group B piglets </w:t>
            </w:r>
          </w:p>
        </w:tc>
      </w:tr>
      <w:tr w:rsidR="00000000">
        <w:tblPrEx>
          <w:tblCellMar>
            <w:top w:w="0" w:type="dxa"/>
            <w:bottom w:w="0" w:type="dxa"/>
          </w:tblCellMar>
        </w:tblPrEx>
        <w:trPr>
          <w:jc w:val="center"/>
        </w:trPr>
        <w:tc>
          <w:tcPr>
            <w:tcW w:w="3096"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0 </w:t>
            </w:r>
          </w:p>
        </w:tc>
        <w:tc>
          <w:tcPr>
            <w:tcW w:w="3060" w:type="dxa"/>
            <w:gridSpan w:val="2"/>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3.9 </w:t>
            </w:r>
          </w:p>
        </w:tc>
        <w:tc>
          <w:tcPr>
            <w:tcW w:w="3060"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0.7 </w:t>
            </w:r>
          </w:p>
        </w:tc>
      </w:tr>
      <w:tr w:rsidR="00000000">
        <w:tblPrEx>
          <w:tblCellMar>
            <w:top w:w="0" w:type="dxa"/>
            <w:bottom w:w="0" w:type="dxa"/>
          </w:tblCellMar>
        </w:tblPrEx>
        <w:trPr>
          <w:jc w:val="center"/>
        </w:trPr>
        <w:tc>
          <w:tcPr>
            <w:tcW w:w="3096"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10 </w:t>
            </w:r>
          </w:p>
        </w:tc>
        <w:tc>
          <w:tcPr>
            <w:tcW w:w="3060" w:type="dxa"/>
            <w:gridSpan w:val="2"/>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3.2 </w:t>
            </w:r>
          </w:p>
        </w:tc>
        <w:tc>
          <w:tcPr>
            <w:tcW w:w="3060"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0.8 </w:t>
            </w:r>
          </w:p>
        </w:tc>
      </w:tr>
      <w:tr w:rsidR="00000000">
        <w:tblPrEx>
          <w:tblCellMar>
            <w:top w:w="0" w:type="dxa"/>
            <w:bottom w:w="0" w:type="dxa"/>
          </w:tblCellMar>
        </w:tblPrEx>
        <w:trPr>
          <w:jc w:val="center"/>
        </w:trPr>
        <w:tc>
          <w:tcPr>
            <w:tcW w:w="3096"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20 </w:t>
            </w:r>
          </w:p>
        </w:tc>
        <w:tc>
          <w:tcPr>
            <w:tcW w:w="3060" w:type="dxa"/>
            <w:gridSpan w:val="2"/>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3.0 </w:t>
            </w:r>
          </w:p>
        </w:tc>
        <w:tc>
          <w:tcPr>
            <w:tcW w:w="3060"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2.6 </w:t>
            </w:r>
          </w:p>
        </w:tc>
      </w:tr>
      <w:tr w:rsidR="00000000">
        <w:tblPrEx>
          <w:tblCellMar>
            <w:top w:w="0" w:type="dxa"/>
            <w:bottom w:w="0" w:type="dxa"/>
          </w:tblCellMar>
        </w:tblPrEx>
        <w:trPr>
          <w:jc w:val="center"/>
        </w:trPr>
        <w:tc>
          <w:tcPr>
            <w:tcW w:w="3096"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40 </w:t>
            </w:r>
          </w:p>
        </w:tc>
        <w:tc>
          <w:tcPr>
            <w:tcW w:w="3060" w:type="dxa"/>
            <w:gridSpan w:val="2"/>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2.9 </w:t>
            </w:r>
          </w:p>
        </w:tc>
        <w:tc>
          <w:tcPr>
            <w:tcW w:w="3060" w:type="dxa"/>
            <w:tcBorders>
              <w:top w:val="single" w:sz="6" w:space="0" w:color="auto"/>
              <w:left w:val="single" w:sz="6" w:space="0" w:color="auto"/>
              <w:bottom w:val="single" w:sz="6" w:space="0" w:color="auto"/>
              <w:right w:val="single" w:sz="6" w:space="0" w:color="auto"/>
            </w:tcBorders>
            <w:vAlign w:val="center"/>
          </w:tcPr>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rPr>
              <w:t xml:space="preserve">2.9 </w:t>
            </w:r>
          </w:p>
        </w:tc>
      </w:tr>
    </w:tbl>
    <w:p w:rsidR="00000000" w:rsidRDefault="00BA0587">
      <w:pPr>
        <w:widowControl w:val="0"/>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Suggest reasons for the changes in the concentrations of PCV2 antibodies in</w:t>
      </w:r>
      <w:r>
        <w:rPr>
          <w:rFonts w:ascii="Arial" w:hAnsi="Arial" w:cs="Arial"/>
        </w:rPr>
        <w:br/>
      </w:r>
      <w:r>
        <w:rPr>
          <w:rFonts w:ascii="Arial" w:hAnsi="Arial" w:cs="Arial"/>
        </w:rPr>
        <w:t>group A and group B piglets.</w:t>
      </w:r>
    </w:p>
    <w:p w:rsidR="00000000" w:rsidRDefault="00BA0587">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BA0587">
      <w:pPr>
        <w:widowControl w:val="0"/>
        <w:autoSpaceDE w:val="0"/>
        <w:autoSpaceDN w:val="0"/>
        <w:adjustRightInd w:val="0"/>
        <w:spacing w:after="0" w:line="240" w:lineRule="auto"/>
        <w:jc w:val="thaiDistribute"/>
        <w:rPr>
          <w:rFonts w:ascii="Arial" w:hAnsi="Arial" w:cs="Arial"/>
        </w:rPr>
      </w:pPr>
      <w:r>
        <w:rPr>
          <w:rFonts w:ascii="Arial" w:hAnsi="Arial" w:cs="Arial"/>
          <w:b/>
          <w:bCs/>
        </w:rPr>
        <w:t>(Total for question = 13 marks)</w:t>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Examiner's Report</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Q1.</w:t>
      </w:r>
      <w:r>
        <w:rPr>
          <w:rFonts w:ascii="Arial" w:hAnsi="Arial" w:cs="Arial"/>
        </w:rPr>
        <w:br/>
      </w: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b/>
          <w:bCs/>
          <w:i/>
          <w:iCs/>
        </w:rPr>
        <w:t>(i)</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The y axis gave some candidates a problem as the intervals were a bit different from previous graphs. We allowed a range of values between 36.26 and 36.28 for the reading at 07:00.</w:t>
      </w:r>
    </w:p>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010275" cy="26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26574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b/>
          <w:bCs/>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A clea</w:t>
      </w:r>
      <w:r>
        <w:rPr>
          <w:rFonts w:ascii="Arial" w:hAnsi="Arial" w:cs="Arial"/>
        </w:rPr>
        <w:t>rly laid out calculation using acceptable values read from the graph.</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Always show your working.</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(ii)</w:t>
      </w: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This question turned out to be the most challenging question on the paper with the majority of candidates struggling to pick up two marks.</w:t>
      </w: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477000" cy="406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0671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clearly understood the graph and its role and made one of the better attempts at answering this question.</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Q2.</w:t>
      </w:r>
      <w:r>
        <w:rPr>
          <w:rFonts w:ascii="Arial" w:hAnsi="Arial" w:cs="Arial"/>
          <w:b/>
          <w:bCs/>
          <w:sz w:val="24"/>
          <w:szCs w:val="24"/>
        </w:rPr>
        <w:br/>
      </w:r>
      <w:r>
        <w:rPr>
          <w:rFonts w:ascii="Arial" w:hAnsi="Arial" w:cs="Arial"/>
          <w:sz w:val="24"/>
          <w:szCs w:val="24"/>
        </w:rPr>
        <w:t> </w:t>
      </w: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Part (a) proved to be straightforward and was answered well by most candidates. In part (b), a simple comparison of the ma</w:t>
      </w:r>
      <w:r>
        <w:rPr>
          <w:rFonts w:ascii="Arial" w:hAnsi="Arial" w:cs="Arial"/>
          <w:sz w:val="24"/>
          <w:szCs w:val="24"/>
        </w:rPr>
        <w:t>in trends shown in the two hospitals was expected. Many candidates tried to describe each line separately, quoting data at each time period.</w:t>
      </w: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b/>
          <w:bCs/>
          <w:sz w:val="24"/>
          <w:szCs w:val="24"/>
        </w:rPr>
        <w:t>(b)</w:t>
      </w: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581775" cy="3114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775" cy="31146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 clear, concise comparison which can be a</w:t>
      </w:r>
      <w:r>
        <w:rPr>
          <w:rFonts w:ascii="Arial" w:hAnsi="Arial" w:cs="Arial"/>
          <w:sz w:val="24"/>
          <w:szCs w:val="24"/>
        </w:rPr>
        <w:t>warded 2 marks. A third mark could have been awarded if the candidate had referred to the relatively small difference at the start using figures from the graph.</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Most candidates were able to give acceptable answers to parts (c)(i) and (c)(ii).</w:t>
      </w: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br w:type="page"/>
      </w:r>
      <w:r>
        <w:rPr>
          <w:rFonts w:ascii="Arial" w:hAnsi="Arial" w:cs="Arial"/>
          <w:b/>
          <w:bCs/>
          <w:sz w:val="24"/>
          <w:szCs w:val="24"/>
        </w:rPr>
        <w:t>Q3.</w:t>
      </w:r>
      <w:r>
        <w:rPr>
          <w:rFonts w:ascii="Arial" w:hAnsi="Arial" w:cs="Arial"/>
          <w:b/>
          <w:bCs/>
          <w:sz w:val="24"/>
          <w:szCs w:val="24"/>
        </w:rPr>
        <w:br/>
      </w:r>
      <w:r>
        <w:rPr>
          <w:rFonts w:ascii="Arial" w:hAnsi="Arial" w:cs="Arial"/>
          <w:sz w:val="24"/>
          <w:szCs w:val="24"/>
        </w:rPr>
        <w:t> </w:t>
      </w: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(b) (iii) The average mark for this question was low. Despite 'comparison' questions appearing in both AS and A2 papers and our feedback in examiner reports, candidates are still approaching questions of this type by writing two descriptions. At A2 we will</w:t>
      </w:r>
      <w:r>
        <w:rPr>
          <w:rFonts w:ascii="Arial" w:hAnsi="Arial" w:cs="Arial"/>
          <w:sz w:val="24"/>
          <w:szCs w:val="24"/>
        </w:rPr>
        <w:t xml:space="preserve"> not piece candidate's answers together - they have to write pairs of comparative statements to be awarded the marks.</w:t>
      </w: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472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4724400"/>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did attempt to write a comparison but could not be awar</w:t>
      </w:r>
      <w:r>
        <w:rPr>
          <w:rFonts w:ascii="Arial" w:hAnsi="Arial" w:cs="Arial"/>
          <w:sz w:val="24"/>
          <w:szCs w:val="24"/>
        </w:rPr>
        <w:t>ded some of the marks as values from the x axis were not read accurately enough.</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You must quote values from the x axis in any description or comparison that you write, but they must be correct.</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3648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36480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is typical of candidates who wrote two descriptions.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When answering a question where you are asked to compare something, you must write each sentence to include a matched piece o</w:t>
      </w:r>
      <w:r>
        <w:rPr>
          <w:rFonts w:ascii="Arial" w:hAnsi="Arial" w:cs="Arial"/>
          <w:sz w:val="24"/>
          <w:szCs w:val="24"/>
        </w:rPr>
        <w:t>f information for both things that you have been asked to compare. Do not write two descriptions.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4143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2225" cy="41433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There were some good comparisons.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The use of the word 'whereas' is very useful in sentences that are making comparisons.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(b) (i-ii) Question (b)(i) was another question where candidates wrote everything they knew about the topic, initiating an immune response, without actually answering t</w:t>
      </w:r>
      <w:r>
        <w:rPr>
          <w:rFonts w:ascii="Arial" w:hAnsi="Arial" w:cs="Arial"/>
          <w:sz w:val="24"/>
          <w:szCs w:val="24"/>
        </w:rPr>
        <w:t>he question to tell us how vaccines work. Part (ii) saw a range of responses, but candidates rarely used the mark allocation for this question to give enough information to score all 3 marks.</w:t>
      </w: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5534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553402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w:t>
      </w:r>
      <w:r>
        <w:rPr>
          <w:rFonts w:ascii="Arial" w:hAnsi="Arial" w:cs="Arial"/>
          <w:b/>
          <w:bCs/>
          <w:sz w:val="24"/>
          <w:szCs w:val="24"/>
        </w:rPr>
        <w:t>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Although part (ii) did score all 3 marks, this response illustrates how many candidates do not appreciate the meanings of reliability and validity.</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You must use the terms reliability and validity correctly. It is no good wri</w:t>
      </w:r>
      <w:r>
        <w:rPr>
          <w:rFonts w:ascii="Arial" w:hAnsi="Arial" w:cs="Arial"/>
          <w:sz w:val="24"/>
          <w:szCs w:val="24"/>
        </w:rPr>
        <w:t>ting both in the vague hope that one will be correct, as the wrong term will negate the mark for the correct one.</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516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5162550"/>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 number of candidates referred to a dead virus being used.</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Remember that viruses are non-living particles. If they are not living then they cannot be killed or be dead.</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225" cy="4629150"/>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illustrates another common mistake in expression. The vaccine contained the virus not the disease or the PWMS and certainly not the bacteria.</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(b) (iv) Candidates who thought</w:t>
      </w:r>
      <w:r>
        <w:rPr>
          <w:rFonts w:ascii="Arial" w:hAnsi="Arial" w:cs="Arial"/>
          <w:sz w:val="24"/>
          <w:szCs w:val="24"/>
        </w:rPr>
        <w:t xml:space="preserve"> carefully about the data scored highly in this question. Unfortunately, many candidates failed to acknowledge the low levels of antibody in the newborn Group B piglets so did not appreciate that some antibodies must have been passed on to them from their </w:t>
      </w:r>
      <w:r>
        <w:rPr>
          <w:rFonts w:ascii="Arial" w:hAnsi="Arial" w:cs="Arial"/>
          <w:sz w:val="24"/>
          <w:szCs w:val="24"/>
        </w:rPr>
        <w:t>mothers.</w:t>
      </w:r>
    </w:p>
    <w:p w:rsidR="00000000" w:rsidRDefault="00BA0587">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6372225" cy="4867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4867275"/>
                    </a:xfrm>
                    <a:prstGeom prst="rect">
                      <a:avLst/>
                    </a:prstGeom>
                    <a:noFill/>
                    <a:ln>
                      <a:noFill/>
                    </a:ln>
                  </pic:spPr>
                </pic:pic>
              </a:graphicData>
            </a:graphic>
          </wp:inline>
        </w:drawing>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was typical of candidates who did not read the stem of the question carefully enough. We saw a number of descriptions of the data instead of explanations.</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r>
        <w:rPr>
          <w:rFonts w:ascii="Arial" w:hAnsi="Arial" w:cs="Arial"/>
          <w:b/>
          <w:bCs/>
          <w:sz w:val="24"/>
          <w:szCs w:val="24"/>
        </w:rPr>
        <w:t>Plus: Examiner Tip</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Before you start writing your answer, check that you have identified the question command word correctly.</w:t>
      </w:r>
    </w:p>
    <w:p w:rsidR="00000000" w:rsidRDefault="00BA0587">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sz w:val="24"/>
          <w:szCs w:val="24"/>
        </w:rPr>
      </w:pPr>
    </w:p>
    <w:p w:rsidR="00000000" w:rsidRDefault="00BA0587">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t>Q1.</w:t>
      </w:r>
      <w:r>
        <w:rPr>
          <w:rFonts w:ascii="Arial" w:hAnsi="Arial" w:cs="Arial"/>
        </w:rPr>
        <w:br/>
      </w:r>
      <w:r>
        <w:rPr>
          <w:rFonts w:ascii="Arial" w:hAnsi="Arial" w:cs="Arial"/>
        </w:rPr>
        <w:t> </w:t>
      </w:r>
    </w:p>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667500" cy="2047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04787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6667500" cy="2733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273367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77025" cy="5495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7025" cy="549592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48450" cy="134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0" cy="134302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48450" cy="4505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450532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Q3.</w:t>
      </w:r>
      <w:r>
        <w:rPr>
          <w:rFonts w:ascii="Arial" w:hAnsi="Arial" w:cs="Arial"/>
          <w:b/>
          <w:bCs/>
        </w:rPr>
        <w:br/>
      </w: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563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5638800"/>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96050" cy="752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7524750"/>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486525" cy="4276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4276725"/>
                    </a:xfrm>
                    <a:prstGeom prst="rect">
                      <a:avLst/>
                    </a:prstGeom>
                    <a:noFill/>
                    <a:ln>
                      <a:noFill/>
                    </a:ln>
                  </pic:spPr>
                </pic:pic>
              </a:graphicData>
            </a:graphic>
          </wp:inline>
        </w:drawing>
      </w:r>
    </w:p>
    <w:p w:rsidR="00000000" w:rsidRDefault="00BA0587">
      <w:pPr>
        <w:widowControl w:val="0"/>
        <w:autoSpaceDE w:val="0"/>
        <w:autoSpaceDN w:val="0"/>
        <w:adjustRightInd w:val="0"/>
        <w:spacing w:after="0" w:line="240" w:lineRule="auto"/>
        <w:rPr>
          <w:rFonts w:ascii="Arial" w:hAnsi="Arial" w:cs="Arial"/>
        </w:rPr>
      </w:pPr>
    </w:p>
    <w:p w:rsidR="00000000" w:rsidRDefault="00BA0587">
      <w:pPr>
        <w:widowControl w:val="0"/>
        <w:autoSpaceDE w:val="0"/>
        <w:autoSpaceDN w:val="0"/>
        <w:adjustRightInd w:val="0"/>
        <w:spacing w:after="0" w:line="240" w:lineRule="auto"/>
        <w:rPr>
          <w:rFonts w:ascii="Arial" w:hAnsi="Arial" w:cs="Arial"/>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587"/>
    <w:rsid w:val="00BA0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A651F169-1437-4F27-81E6-8D1BA093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正文"/>
    <w:qFormat/>
  </w:style>
  <w:style w:type="character" w:default="1" w:styleId="DefaultParagraphFont">
    <w:name w:val="Default Paragraph Font"/>
    <w:aliases w:val="默认段落字体"/>
    <w:uiPriority w:val="1"/>
    <w:semiHidden/>
    <w:unhideWhenUsed/>
  </w:style>
  <w:style w:type="table" w:default="1" w:styleId="TableNormal">
    <w:name w:val="Normal Table"/>
    <w:aliases w:val="普通表格"/>
    <w:uiPriority w:val="99"/>
    <w:semiHidden/>
    <w:unhideWhenUsed/>
    <w:tblPr>
      <w:tblInd w:w="0" w:type="dxa"/>
      <w:tblCellMar>
        <w:top w:w="0" w:type="dxa"/>
        <w:left w:w="108" w:type="dxa"/>
        <w:bottom w:w="0" w:type="dxa"/>
        <w:right w:w="108" w:type="dxa"/>
      </w:tblCellMar>
    </w:tblPr>
  </w:style>
  <w:style w:type="numbering" w:default="1" w:styleId="NoList">
    <w:name w:val="No List"/>
    <w:aliases w:val="无列表"/>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2747</Words>
  <Characters>15660</Characters>
  <Application>Microsoft Office Word</Application>
  <DocSecurity>0</DocSecurity>
  <Lines>130</Lines>
  <Paragraphs>36</Paragraphs>
  <ScaleCrop>false</ScaleCrop>
  <Company/>
  <LinksUpToDate>false</LinksUpToDate>
  <CharactersWithSpaces>18371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2023-05-04T09:25:00Z</dcterms:created>
  <dcterms:modified xsi:type="dcterms:W3CDTF">2023-05-04T09:25:00Z</dcterms:modified>
</cp:coreProperties>
</file>